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D73679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B45D0A" w:rsidRPr="00D73679" w:rsidRDefault="00D73679" w:rsidP="00D73679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73679">
              <w:rPr>
                <w:rFonts w:asciiTheme="minorHAnsi" w:eastAsia="Arial" w:hAnsiTheme="minorHAnsi" w:cs="Calibri"/>
                <w:b/>
                <w:sz w:val="20"/>
                <w:szCs w:val="20"/>
              </w:rPr>
              <w:t>ZARZĄD POWIATU W ŻYWCU</w:t>
            </w: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lastRenderedPageBreak/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044D08" w:rsidRPr="00862716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044D08"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044D08" w:rsidRPr="00D97AA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044D08" w:rsidRPr="00D97AA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</w:p>
    <w:p w:rsidR="00EB73C0" w:rsidRPr="00D97AAD" w:rsidRDefault="00EB73C0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8)</w:t>
      </w:r>
      <w:r>
        <w:rPr>
          <w:rFonts w:asciiTheme="minorHAnsi" w:hAnsiTheme="minorHAnsi" w:cs="Verdana"/>
          <w:color w:val="auto"/>
          <w:sz w:val="18"/>
          <w:szCs w:val="18"/>
        </w:rPr>
        <w:tab/>
        <w:t>dysponuję rachunkiem bankowym o numerze………………………………………………………………………………………………..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C65320" w:rsidRPr="00C65320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sectPr w:rsidR="001F3FE7" w:rsidRPr="00AC55C7" w:rsidSect="00EB73C0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22E" w:rsidRDefault="0069722E">
      <w:r>
        <w:separator/>
      </w:r>
    </w:p>
  </w:endnote>
  <w:endnote w:type="continuationSeparator" w:id="0">
    <w:p w:rsidR="0069722E" w:rsidRDefault="00697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12D" w:rsidRPr="00C96862" w:rsidRDefault="00F76235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7F612D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B73C0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22E" w:rsidRDefault="0069722E">
      <w:r>
        <w:separator/>
      </w:r>
    </w:p>
  </w:footnote>
  <w:footnote w:type="continuationSeparator" w:id="0">
    <w:p w:rsidR="0069722E" w:rsidRDefault="0069722E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0804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1F2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22E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3679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3C0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23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87CF7-BE25-4F21-97E1-80D2E7E5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1549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TKSP.Kubica Marta</cp:lastModifiedBy>
  <cp:revision>25</cp:revision>
  <cp:lastPrinted>2016-05-31T09:57:00Z</cp:lastPrinted>
  <dcterms:created xsi:type="dcterms:W3CDTF">2016-07-07T13:44:00Z</dcterms:created>
  <dcterms:modified xsi:type="dcterms:W3CDTF">2016-12-07T06:50:00Z</dcterms:modified>
</cp:coreProperties>
</file>